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Cs w:val="32"/>
              </w:rPr>
              <w:t>自治区药品监督管理局所属事业单位2019年面向社会公开招聘工作人员职位表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tbl>
            <w:tblPr>
              <w:tblStyle w:val="7"/>
              <w:tblW w:w="139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"/>
              <w:gridCol w:w="1020"/>
              <w:gridCol w:w="1120"/>
              <w:gridCol w:w="1060"/>
              <w:gridCol w:w="740"/>
              <w:gridCol w:w="900"/>
              <w:gridCol w:w="640"/>
              <w:gridCol w:w="680"/>
              <w:gridCol w:w="700"/>
              <w:gridCol w:w="940"/>
              <w:gridCol w:w="898"/>
              <w:gridCol w:w="1276"/>
              <w:gridCol w:w="3386"/>
            </w:tblGrid>
            <w:tr>
              <w:tblPrEx>
                <w:tblLayout w:type="fixed"/>
              </w:tblPrEx>
              <w:trPr>
                <w:trHeight w:val="465" w:hRule="atLeast"/>
              </w:trPr>
              <w:tc>
                <w:tcPr>
                  <w:tcW w:w="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序号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单位名称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内设机构名称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岗位名称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岗位类别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岗位代码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招聘名额</w:t>
                  </w:r>
                </w:p>
              </w:tc>
              <w:tc>
                <w:tcPr>
                  <w:tcW w:w="7880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岗位基本条件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族别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年龄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专业要求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其他条件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新疆维吾尔自治区食品药品审评查验中心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药品经营检查科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药品经营许可审查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35周岁及以下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药学类、中药学类、生物医学工程类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4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药械生产检查科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药品GMP认证技术审查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35周岁及以下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中药学、药学类、生物学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8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新疆维吾尔自治区药品不良反应监测中心（新疆维吾尔自治区医疗器械不良事件监测中心）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药品监测与评价科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药品监测与评价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30周岁及以下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医学检验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药品监测与评价科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药品监测与评价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30周岁及以下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药学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5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新疆维吾尔自治区食品药品检验所</w:t>
                  </w: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新疆维吾尔自治区食品药品检验所</w:t>
                  </w: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民族药检验室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中药民族药检验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药学类、中药学类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药学类建议药物分析学、生药学、药物化学人员报考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化妆品检验室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化妆品检验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少数民族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.需取得“中国汉语水平等级考试HSK6级（旧版）”及以上或“中国汉语水平等级考试HSK5级（新版）”及以上或“中国少数民族汉语水平等级考试MHK三级甲等”及以上证书；2.建议药剂学、药物分析学、药物化学专业考生报考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医疗器械检验室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医疗器械检验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1907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生物医学工程类、仪器类、物理学类、机械类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建议生物医学工程、测控技术与仪器、物理学、机械电子工程专业考生报考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0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化学药检验室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化学药检验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1908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1.建议药物分析、药物化学专业考生报考；2.长期出差从事户外检测工作，条件较艰苦，建议男性考生报考。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5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化学药检验室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化学药检验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1909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建议药剂学、药物分析学、药物化学专业考生报考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中药检验室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中药检验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1910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中药学类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8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药理与微生物检验室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药理与微生物检验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1911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药学类、中药学类、公共卫生与预防医学类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1.药学类建议药理学，公共卫生与预防医学类建议卫生毒理学专业考生报考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4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仪器设备与供应管理科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仪器设备管理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1912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仪器科学与技术类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长期出差从事户外检测工作，条件较艰苦，建议男性考生报考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仪器设备与供应管理科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仪器设备管理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1913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1.建议药物分析专业考生报考；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2.长期出差从事户外检测工作，条件较艰苦，建议男性考生报考。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0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业务管理科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检验业务受理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1914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少数民族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1.需取得“中国汉语水平等级考试HSK6级（旧版）”及以上或“中国汉语水平等级考试HSK5级（新版）”及以上或“中国少数民族汉语水平等级考试MHK三级甲等”及以上证书；2.建议药物分析、药学专业考生报考。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4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人事教育科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组织人事管理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1915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工商管理类、公共管理类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中共党员（含预备党员）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财务管理科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会计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1916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会计审计类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7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业务管理科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计算机应用与维护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1917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计算机类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1.建议计算机科学与技术、软件工程、网络工程、电子与计算机工程专业考虑。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2.长期出差从事信息维护工作，条件较艰苦，建议男性考生报考。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0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办公室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基建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6"/>
                      <w:szCs w:val="16"/>
                    </w:rPr>
                    <w:t>1918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建筑土木工程及管理类</w:t>
                  </w:r>
                </w:p>
              </w:tc>
              <w:tc>
                <w:tcPr>
                  <w:tcW w:w="3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00" w:lineRule="exact"/>
                    <w:jc w:val="lef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1.建议工业与民用建筑、建筑工程技术专业，同等条件下具有房产建筑、监理现场管理工作经历考生优先考虑；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2.建议熟练掌握CAD建筑平面制图方法考生优先报考；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16"/>
                      <w:szCs w:val="16"/>
                    </w:rPr>
                    <w:t>3.建议男性考生报考。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74" w:right="1440" w:bottom="1474" w:left="1440" w:header="851" w:footer="992" w:gutter="0"/>
          <w:pgNumType w:start="0"/>
          <w:cols w:space="425" w:num="1"/>
          <w:docGrid w:type="linesAndChars" w:linePitch="435" w:charSpace="0"/>
        </w:sectPr>
      </w:pPr>
    </w:p>
    <w:p>
      <w:pPr>
        <w:widowControl/>
        <w:spacing w:line="460" w:lineRule="exact"/>
        <w:rPr>
          <w:rFonts w:ascii="仿宋_GB2312" w:hAnsi="仿宋_GB2312" w:eastAsia="仿宋_GB2312" w:cs="仿宋_GB2312"/>
          <w:szCs w:val="32"/>
        </w:rPr>
      </w:pPr>
    </w:p>
    <w:sectPr>
      <w:pgSz w:w="11906" w:h="16838"/>
      <w:pgMar w:top="1440" w:right="1474" w:bottom="1440" w:left="1474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645"/>
        <w:tab w:val="center" w:pos="4479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2"/>
    <w:rsid w:val="0006069B"/>
    <w:rsid w:val="00061686"/>
    <w:rsid w:val="0008280B"/>
    <w:rsid w:val="0008659D"/>
    <w:rsid w:val="00094CAA"/>
    <w:rsid w:val="000B2416"/>
    <w:rsid w:val="00133907"/>
    <w:rsid w:val="00186D58"/>
    <w:rsid w:val="001973DB"/>
    <w:rsid w:val="001A0FD9"/>
    <w:rsid w:val="001B2AC2"/>
    <w:rsid w:val="001C6034"/>
    <w:rsid w:val="001D3684"/>
    <w:rsid w:val="001D628F"/>
    <w:rsid w:val="001E4438"/>
    <w:rsid w:val="00213281"/>
    <w:rsid w:val="00234336"/>
    <w:rsid w:val="00275371"/>
    <w:rsid w:val="002A36C8"/>
    <w:rsid w:val="002C229C"/>
    <w:rsid w:val="002D09F9"/>
    <w:rsid w:val="002D6AA3"/>
    <w:rsid w:val="002E77D2"/>
    <w:rsid w:val="0031596E"/>
    <w:rsid w:val="003432DF"/>
    <w:rsid w:val="003520E5"/>
    <w:rsid w:val="0035726B"/>
    <w:rsid w:val="00397644"/>
    <w:rsid w:val="003A277B"/>
    <w:rsid w:val="003A7619"/>
    <w:rsid w:val="00401724"/>
    <w:rsid w:val="0042573D"/>
    <w:rsid w:val="004750E6"/>
    <w:rsid w:val="00484810"/>
    <w:rsid w:val="00504B28"/>
    <w:rsid w:val="00512275"/>
    <w:rsid w:val="00523BF6"/>
    <w:rsid w:val="005573A0"/>
    <w:rsid w:val="005F56E2"/>
    <w:rsid w:val="006009AF"/>
    <w:rsid w:val="00602C84"/>
    <w:rsid w:val="0060699C"/>
    <w:rsid w:val="00625771"/>
    <w:rsid w:val="00634521"/>
    <w:rsid w:val="006B5FCC"/>
    <w:rsid w:val="006C31D2"/>
    <w:rsid w:val="006C659F"/>
    <w:rsid w:val="006C7CA5"/>
    <w:rsid w:val="006D6223"/>
    <w:rsid w:val="007045D9"/>
    <w:rsid w:val="0072663C"/>
    <w:rsid w:val="00731A0B"/>
    <w:rsid w:val="007829D8"/>
    <w:rsid w:val="007B5AD0"/>
    <w:rsid w:val="007D3368"/>
    <w:rsid w:val="007D6252"/>
    <w:rsid w:val="007E4691"/>
    <w:rsid w:val="00802FE5"/>
    <w:rsid w:val="00814BCE"/>
    <w:rsid w:val="008350EB"/>
    <w:rsid w:val="00847A41"/>
    <w:rsid w:val="008545F8"/>
    <w:rsid w:val="008573DB"/>
    <w:rsid w:val="00896EFD"/>
    <w:rsid w:val="008A5AB1"/>
    <w:rsid w:val="008C18F8"/>
    <w:rsid w:val="008C4DC9"/>
    <w:rsid w:val="008D76DD"/>
    <w:rsid w:val="0092328A"/>
    <w:rsid w:val="009305D3"/>
    <w:rsid w:val="009437D1"/>
    <w:rsid w:val="00962EBC"/>
    <w:rsid w:val="009729E1"/>
    <w:rsid w:val="0097654E"/>
    <w:rsid w:val="00993AFF"/>
    <w:rsid w:val="009D3E9B"/>
    <w:rsid w:val="009D7855"/>
    <w:rsid w:val="00A14BE5"/>
    <w:rsid w:val="00A34235"/>
    <w:rsid w:val="00A922C8"/>
    <w:rsid w:val="00AB57F1"/>
    <w:rsid w:val="00AF034B"/>
    <w:rsid w:val="00B16F1B"/>
    <w:rsid w:val="00B462E3"/>
    <w:rsid w:val="00B53D8A"/>
    <w:rsid w:val="00B661CC"/>
    <w:rsid w:val="00B84042"/>
    <w:rsid w:val="00BB0785"/>
    <w:rsid w:val="00BD12E5"/>
    <w:rsid w:val="00BF6B43"/>
    <w:rsid w:val="00BF7DD7"/>
    <w:rsid w:val="00C364FB"/>
    <w:rsid w:val="00C638DE"/>
    <w:rsid w:val="00C67FAC"/>
    <w:rsid w:val="00C808AD"/>
    <w:rsid w:val="00C92546"/>
    <w:rsid w:val="00C968F5"/>
    <w:rsid w:val="00C97E28"/>
    <w:rsid w:val="00CA5250"/>
    <w:rsid w:val="00CB3D65"/>
    <w:rsid w:val="00CF685F"/>
    <w:rsid w:val="00D00CA7"/>
    <w:rsid w:val="00D01485"/>
    <w:rsid w:val="00D36AAC"/>
    <w:rsid w:val="00D37B91"/>
    <w:rsid w:val="00D478BF"/>
    <w:rsid w:val="00D633D1"/>
    <w:rsid w:val="00DB37C0"/>
    <w:rsid w:val="00DD78F9"/>
    <w:rsid w:val="00E07B99"/>
    <w:rsid w:val="00E14ECD"/>
    <w:rsid w:val="00E75974"/>
    <w:rsid w:val="00E87D5E"/>
    <w:rsid w:val="00EE7A76"/>
    <w:rsid w:val="00EF1F6A"/>
    <w:rsid w:val="00F0499B"/>
    <w:rsid w:val="00F2770E"/>
    <w:rsid w:val="00F55237"/>
    <w:rsid w:val="00F6130C"/>
    <w:rsid w:val="00F847A5"/>
    <w:rsid w:val="00FA6639"/>
    <w:rsid w:val="00FB1720"/>
    <w:rsid w:val="00FF53F3"/>
    <w:rsid w:val="00FF7EAA"/>
    <w:rsid w:val="07046542"/>
    <w:rsid w:val="0A7D65D2"/>
    <w:rsid w:val="34EF175D"/>
    <w:rsid w:val="36536DF8"/>
    <w:rsid w:val="493C54F1"/>
    <w:rsid w:val="7BF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firstLine="554" w:firstLineChars="173"/>
    </w:pPr>
  </w:style>
  <w:style w:type="paragraph" w:styleId="3">
    <w:name w:val="Plain Text"/>
    <w:basedOn w:val="1"/>
    <w:link w:val="14"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uiPriority w:val="0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qFormat/>
    <w:uiPriority w:val="0"/>
    <w:rPr>
      <w:rFonts w:ascii="Times New Roman" w:hAnsi="Times New Roman" w:eastAsia="楷体_GB2312" w:cs="Times New Roman"/>
      <w:sz w:val="32"/>
      <w:szCs w:val="24"/>
    </w:rPr>
  </w:style>
  <w:style w:type="character" w:customStyle="1" w:styleId="14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7">
    <w:name w:val="Intense Emphasis"/>
    <w:basedOn w:val="8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D28B8-6FB4-4F0D-8DF0-48FC05A05E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304</Words>
  <Characters>1734</Characters>
  <Lines>14</Lines>
  <Paragraphs>4</Paragraphs>
  <TotalTime>7</TotalTime>
  <ScaleCrop>false</ScaleCrop>
  <LinksUpToDate>false</LinksUpToDate>
  <CharactersWithSpaces>2034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2019-08-20T04:50:00Z</dcterms:created>
  <dc:creator>lenovo</dc:creator>
  <cp:lastModifiedBy>彼岸</cp:lastModifiedBy>
  <cp:lastPrinted>2019-08-27T10:03:00Z</cp:lastPrinted>
  <dcterms:modified xsi:type="dcterms:W3CDTF">2019-08-29T02:37:44Z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