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151" w:firstLineChars="50"/>
        <w:jc w:val="left"/>
        <w:rPr>
          <w:rFonts w:hint="eastAsia" w:ascii="宋体" w:hAnsi="宋体" w:eastAsia="宋体" w:cs="宋体"/>
          <w:b w:val="0"/>
          <w:sz w:val="30"/>
          <w:szCs w:val="30"/>
          <w:u w:val="none"/>
          <w:lang w:val="en-US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0"/>
          <w:szCs w:val="30"/>
          <w:u w:val="none"/>
          <w:lang w:val="en-US" w:eastAsia="zh-CN" w:bidi="ar"/>
        </w:rPr>
        <w:t>2019年宿州学院专职实验员招聘计划</w:t>
      </w:r>
    </w:p>
    <w:tbl>
      <w:tblPr>
        <w:tblStyle w:val="5"/>
        <w:tblW w:w="6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158"/>
        <w:gridCol w:w="710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 w:eastAsia="zh-CN" w:bidi="ar"/>
              </w:rPr>
              <w:t>学科、专业要求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环境与测绘工程学院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环境科学、环境工程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u w:val="none"/>
                <w:lang w:val="en-US" w:eastAsia="zh-CN" w:bidi="ar"/>
              </w:rPr>
              <w:t>统计学、金融学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计算机科学与技术、网络工程、物联网工程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应用化学、化学工程与工艺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新闻学、文化产业管理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资源与土木工程学院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分析化学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u w:val="none"/>
                <w:lang w:val="en-US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u w:val="none"/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54EE0"/>
    <w:rsid w:val="44745C32"/>
    <w:rsid w:val="7B154E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333333"/>
      <w:u w:val="none"/>
    </w:rPr>
  </w:style>
  <w:style w:type="character" w:styleId="4">
    <w:name w:val="Hyperlink"/>
    <w:basedOn w:val="2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2018-11-08T06:44:00Z</dcterms:created>
  <dc:creator>ASUS</dc:creator>
  <cp:lastModifiedBy>95</cp:lastModifiedBy>
  <dcterms:modified xsi:type="dcterms:W3CDTF">2018-11-09T08:14:22Z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